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178FC62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6E4668" w:rsidRPr="006E4668">
        <w:rPr>
          <w:rFonts w:eastAsia="Times New Roman" w:cs="Times New Roman"/>
          <w:b/>
          <w:lang w:eastAsia="cs-CZ"/>
        </w:rPr>
        <w:t>„</w:t>
      </w:r>
      <w:r w:rsidR="006E4668" w:rsidRPr="006E4668">
        <w:rPr>
          <w:rFonts w:eastAsia="Times New Roman" w:cs="Times New Roman"/>
          <w:b/>
          <w:bCs/>
          <w:lang w:eastAsia="cs-CZ"/>
        </w:rPr>
        <w:t>Oprava mechanických částí kolejové váhy a výměna řídící elektronické jednotky v žst. Horní Dvořiště“</w:t>
      </w:r>
      <w:r w:rsidR="006E4668">
        <w:rPr>
          <w:rFonts w:eastAsia="Times New Roman" w:cs="Times New Roman"/>
          <w:b/>
          <w:lang w:eastAsia="cs-CZ"/>
        </w:rPr>
        <w:t xml:space="preserve">, </w:t>
      </w:r>
      <w:r w:rsidR="006E4668" w:rsidRPr="006E4668">
        <w:rPr>
          <w:rFonts w:eastAsia="Times New Roman" w:cs="Times New Roman"/>
          <w:bCs/>
          <w:lang w:eastAsia="cs-CZ"/>
        </w:rPr>
        <w:t>tím</w:t>
      </w:r>
      <w:r w:rsidRPr="006E4668">
        <w:rPr>
          <w:rFonts w:eastAsia="Times New Roman" w:cs="Times New Roman"/>
          <w:bCs/>
          <w:lang w:eastAsia="cs-CZ"/>
        </w:rPr>
        <w:t>to</w:t>
      </w:r>
      <w:r>
        <w:rPr>
          <w:rFonts w:eastAsia="Times New Roman" w:cs="Times New Roman"/>
          <w:lang w:eastAsia="cs-CZ"/>
        </w:rPr>
        <w:t xml:space="preserve">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6E4668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6E4668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A740A" w14:textId="77777777" w:rsidR="00FE2779" w:rsidRDefault="00FE27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CCCBF" w14:textId="60B59051" w:rsidR="00FE2779" w:rsidRDefault="006E4668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306E5BE1" wp14:editId="341288D0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139738980" name="Textové pole 6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F43EBD" w14:textId="3B17BB31" w:rsidR="006E4668" w:rsidRPr="006E4668" w:rsidRDefault="006E4668" w:rsidP="006E4668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6E4668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6E5BE1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alt="SŽ: Interní" style="position:absolute;left:0;text-align:left;margin-left:0;margin-top:0;width:38.9pt;height:30.35pt;z-index:25166438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xLxDAIAABwEAAAOAAAAZHJzL2Uyb0RvYy54bWysU8Fu2zAMvQ/YPwi6L3baZGiNOEXWIsOA&#10;oC2QDj0rshQbkERBUmJnXz9KtpO222nYRaZI+pF8fFrcdVqRo3C+AVPS6SSnRBgOVWP2Jf35sv5y&#10;Q4kPzFRMgRElPQlP75afPy1aW4grqEFVwhEEMb5obUnrEGyRZZ7XQjM/ASsMBiU4zQJe3T6rHGsR&#10;XavsKs+/Zi24yjrgwnv0PvRBukz4UgoenqT0IhBVUuwtpNOlcxfPbLlgxd4xWzd8aIP9QxeaNQaL&#10;nqEeWGDk4Jo/oHTDHXiQYcJBZyBlw0WaAaeZ5h+m2dbMijQLkuPtmSb//2D543Frnx0J3TfocIGR&#10;kNb6wqMzztNJp+MXOyUYRwpPZ9pEFwhH5+x2ll9jhGPo+mY+m80jSnb52TofvgvQJBoldbiVRBY7&#10;bnzoU8eUWMvAulEqbUaZdw7EjJ7s0mG0QrfrSFO96X4H1QmHctDv21u+brD0hvnwzBwuGLtF0YYn&#10;PKSCtqQwWJTU4H79zR/zkXeMUtKiYEpqUNGUqB8G9xG1lYzpbT7P8eZG9240zEHfA8pwii/C8mTG&#10;vKBGUzrQryjnVSyEIWY4litpGM370CsXnwMXq1VKQhlZFjZma3mEjnRFLl+6V+bsQHjATT3CqCZW&#10;fOC9z41/ers6BGQ/LSVS2xM5MI4STGsdnkvU+Nt7yro86uVvAAAA//8DAFBLAwQUAAYACAAAACEA&#10;dcFULtkAAAADAQAADwAAAGRycy9kb3ducmV2LnhtbEyPQU/CQBCF7yb+h82YeJNtSaCkdksICQdu&#10;iMJ56I5ttTvbdBeo/HpHL3p5yeRN3vtesRxdpy40hNazgXSSgCKuvG25NvD2unlagAoR2WLnmQx8&#10;UYBleX9XYG79lV/oso+1khAOORpoYuxzrUPVkMMw8T2xeO9+cBjlHGptB7xKuOv0NEnm2mHL0tBg&#10;T+uGqs/92RloZysfUzpsNx9Hl/r0ttvObjtjHh/G1TOoSGP8e4YffEGHUphO/sw2qM6ADIm/Kl6W&#10;yYqTgXmSgS4L/Z+9/AYAAP//AwBQSwECLQAUAAYACAAAACEAtoM4kv4AAADhAQAAEwAAAAAAAAAA&#10;AAAAAAAAAAAAW0NvbnRlbnRfVHlwZXNdLnhtbFBLAQItABQABgAIAAAAIQA4/SH/1gAAAJQBAAAL&#10;AAAAAAAAAAAAAAAAAC8BAABfcmVscy8ucmVsc1BLAQItABQABgAIAAAAIQCXUxLxDAIAABwEAAAO&#10;AAAAAAAAAAAAAAAAAC4CAABkcnMvZTJvRG9jLnhtbFBLAQItABQABgAIAAAAIQB1wVQu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3EF43EBD" w14:textId="3B17BB31" w:rsidR="006E4668" w:rsidRPr="006E4668" w:rsidRDefault="006E4668" w:rsidP="006E4668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6E4668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0BB2FB42" w:rsidR="00F1715C" w:rsidRPr="00B8518B" w:rsidRDefault="006E4668" w:rsidP="00523EA7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5408" behindDoc="0" locked="0" layoutInCell="1" allowOverlap="1" wp14:anchorId="6C5DC4BA" wp14:editId="5CC93FBD">
                    <wp:simplePos x="453542" y="416966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85445"/>
                    <wp:effectExtent l="0" t="0" r="1270" b="14605"/>
                    <wp:wrapNone/>
                    <wp:docPr id="1663319648" name="Textové pole 7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854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CD06712" w14:textId="120F0FCF" w:rsidR="006E4668" w:rsidRPr="006E4668" w:rsidRDefault="006E4668" w:rsidP="006E4668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6E4668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6C5DC4BA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7" o:spid="_x0000_s1027" type="#_x0000_t202" alt="SŽ: Interní" style="position:absolute;left:0;text-align:left;margin-left:0;margin-top:0;width:38.9pt;height:30.35pt;z-index:25166540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sW3DgIAABwEAAAOAAAAZHJzL2Uyb0RvYy54bWysU8Fu2zAMvQ/YPwi6L3bSZGiNOEXWIsOA&#10;oC2QDj0rshQbkERBUmJnXz9KtpOt22nYRaZI+pF8fFred1qRk3C+AVPS6SSnRBgOVWMOJf3+uvl0&#10;S4kPzFRMgRElPQtP71cfPyxbW4gZ1KAq4QiCGF+0tqR1CLbIMs9roZmfgBUGgxKcZgGv7pBVjrWI&#10;rlU2y/PPWQuusg648B69j32QrhK+lIKHZym9CESVFHsL6XTp3MczWy1ZcXDM1g0f2mD/0IVmjcGi&#10;F6hHFhg5uuYPKN1wBx5kmHDQGUjZcJFmwGmm+btpdjWzIs2C5Hh7ocn/P1j+dNrZF0dC9wU6XGAk&#10;pLW+8OiM83TS6fjFTgnGkcLzhTbRBcLROb+b5zcY4Ri6uV3M54uIkl1/ts6HrwI0iUZJHW4lkcVO&#10;Wx/61DEl1jKwaZRKm1HmNwdiRk927TBaodt3pKlKOhu730N1xqEc9Pv2lm8aLL1lPrwwhwvGblG0&#10;4RkPqaAtKQwWJTW4H3/zx3zkHaOUtCiYkhpUNCXqm8F9RG0lY3qXL3K8udG9Hw1z1A+AMpzii7A8&#10;mTEvqNGUDvQbynkdC2GIGY7lShpG8yH0ysXnwMV6nZJQRpaFrdlZHqEjXZHL1+6NOTsQHnBTTzCq&#10;iRXveO9z45/ero8B2U9LidT2RA6MowTTWofnEjX+6z1lXR/16icAAAD//wMAUEsDBBQABgAIAAAA&#10;IQB1wVQu2QAAAAMBAAAPAAAAZHJzL2Rvd25yZXYueG1sTI9BT8JAEIXvJv6HzZh4k21JoKR2SwgJ&#10;B26Iwnnojm21O9t0F6j8ekcvennJ5E3e+16xHF2nLjSE1rOBdJKAIq68bbk28Pa6eVqAChHZYueZ&#10;DHxRgGV5f1dgbv2VX+iyj7WSEA45Gmhi7HOtQ9WQwzDxPbF4735wGOUcam0HvEq46/Q0SebaYcvS&#10;0GBP64aqz/3ZGWhnKx9TOmw3H0eX+vS2285uO2MeH8bVM6hIY/x7hh98QYdSmE7+zDaozoAMib8q&#10;XpbJipOBeZKBLgv9n738BgAA//8DAFBLAQItABQABgAIAAAAIQC2gziS/gAAAOEBAAATAAAAAAAA&#10;AAAAAAAAAAAAAABbQ29udGVudF9UeXBlc10ueG1sUEsBAi0AFAAGAAgAAAAhADj9If/WAAAAlAEA&#10;AAsAAAAAAAAAAAAAAAAALwEAAF9yZWxzLy5yZWxzUEsBAi0AFAAGAAgAAAAhACCSxbcOAgAAHAQA&#10;AA4AAAAAAAAAAAAAAAAALgIAAGRycy9lMm9Eb2MueG1sUEsBAi0AFAAGAAgAAAAhAHXBVC7ZAAAA&#10;AwEAAA8AAAAAAAAAAAAAAAAAaAQAAGRycy9kb3ducmV2LnhtbFBLBQYAAAAABAAEAPMAAABuBQAA&#10;AAA=&#10;" filled="f" stroked="f">
                    <v:fill o:detectmouseclick="t"/>
                    <v:textbox style="mso-fit-shape-to-text:t" inset="0,15pt,0,0">
                      <w:txbxContent>
                        <w:p w14:paraId="6CD06712" w14:textId="120F0FCF" w:rsidR="006E4668" w:rsidRPr="006E4668" w:rsidRDefault="006E4668" w:rsidP="006E4668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6E4668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6CBDEB6" w:rsidR="00C715B9" w:rsidRDefault="006E4668">
    <w:pPr>
      <w:pStyle w:val="Zhlav"/>
      <w:rPr>
        <w:szCs w:val="22"/>
      </w:rPr>
    </w:pPr>
    <w:r>
      <w:rPr>
        <w:noProof/>
        <w:szCs w:val="22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562BAB95" wp14:editId="78F24320">
              <wp:simplePos x="1316736" y="380390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1014826895" name="Textové pole 5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B03A03" w14:textId="2AAE5CD5" w:rsidR="006E4668" w:rsidRPr="006E4668" w:rsidRDefault="006E4668" w:rsidP="006E4668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6E4668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2BAB95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8" type="#_x0000_t202" alt="SŽ: Interní" style="position:absolute;left:0;text-align:left;margin-left:0;margin-top:0;width:38.9pt;height:30.35pt;z-index:25166336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mU5CQIAABUEAAAOAAAAZHJzL2Uyb0RvYy54bWysU8Fu2zAMvQ/YPwi6L3baZGiNOEXWIsOA&#10;oC2QDj0rshQbkERBUmJnXz9KtpOt66nYRaZI+pF8fFrcdVqRo3C+AVPS6SSnRBgOVWP2Jf35sv5y&#10;Q4kPzFRMgRElPQlP75afPy1aW4grqEFVwhEEMb5obUnrEGyRZZ7XQjM/ASsMBiU4zQJe3T6rHGsR&#10;XavsKs+/Zi24yjrgwnv0PvRBukz4UgoenqT0IhBVUuwtpNOlcxfPbLlgxd4xWzd8aIN9oAvNGoNF&#10;z1APLDBycM0/ULrhDjzIMOGgM5Cy4SLNgNNM8zfTbGtmRZoFyfH2TJP/f7D88bi1z46E7ht0uMBI&#10;SGt94dEZ5+mk0/GLnRKMI4WnM22iC4Sjc3Y7y68xwjF0fTOfzeYRJbv8bJ0P3wVoEo2SOtxKIosd&#10;Nz70qWNKrGVg3SiVNqPMXw7EjJ7s0mG0QrfrhrZ3UJ1wGgf9or3l6wZrbpgPz8zhZrFNVGt4wkMq&#10;aEsKg0VJDe7Xe/6Yj4RjlJIWlVJSg1KmRP0wuIgoqmRMb/N5jjc3unejYQ76HlB/U3wKlicz5gU1&#10;mtKBfkUdr2IhDDHDsVxJw2jeh16y+A64WK1SEurHsrAxW8sjdOQpkvjSvTJnB6YDrugRRhmx4g3h&#10;fW7809vVISDtaRuR057IgWrUXtrn8E6iuP+8p6zLa17+BgAA//8DAFBLAwQUAAYACAAAACEAdcFU&#10;LtkAAAADAQAADwAAAGRycy9kb3ducmV2LnhtbEyPQU/CQBCF7yb+h82YeJNtSaCkdksICQduiMJ5&#10;6I5ttTvbdBeo/HpHL3p5yeRN3vtesRxdpy40hNazgXSSgCKuvG25NvD2unlagAoR2WLnmQx8UYBl&#10;eX9XYG79lV/oso+1khAOORpoYuxzrUPVkMMw8T2xeO9+cBjlHGptB7xKuOv0NEnm2mHL0tBgT+uG&#10;qs/92RloZysfUzpsNx9Hl/r0ttvObjtjHh/G1TOoSGP8e4YffEGHUphO/sw2qM6ADIm/Kl6WyYqT&#10;gXmSgS4L/Z+9/AYAAP//AwBQSwECLQAUAAYACAAAACEAtoM4kv4AAADhAQAAEwAAAAAAAAAAAAAA&#10;AAAAAAAAW0NvbnRlbnRfVHlwZXNdLnhtbFBLAQItABQABgAIAAAAIQA4/SH/1gAAAJQBAAALAAAA&#10;AAAAAAAAAAAAAC8BAABfcmVscy8ucmVsc1BLAQItABQABgAIAAAAIQB/xmU5CQIAABUEAAAOAAAA&#10;AAAAAAAAAAAAAC4CAABkcnMvZTJvRG9jLnhtbFBLAQItABQABgAIAAAAIQB1wVQu2QAAAAMBAAAP&#10;AAAAAAAAAAAAAAAAAGMEAABkcnMvZG93bnJldi54bWxQSwUGAAAAAAQABADzAAAAaQUAAAAA&#10;" filled="f" stroked="f">
              <v:fill o:detectmouseclick="t"/>
              <v:textbox style="mso-fit-shape-to-text:t" inset="0,15pt,0,0">
                <w:txbxContent>
                  <w:p w14:paraId="53B03A03" w14:textId="2AAE5CD5" w:rsidR="006E4668" w:rsidRPr="006E4668" w:rsidRDefault="006E4668" w:rsidP="006E4668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6E4668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715B9">
      <w:rPr>
        <w:szCs w:val="22"/>
      </w:rPr>
      <w:t xml:space="preserve">Příloha č. </w:t>
    </w:r>
    <w:r w:rsidR="00C715B9" w:rsidRPr="00986260">
      <w:rPr>
        <w:szCs w:val="22"/>
      </w:rPr>
      <w:t>1</w:t>
    </w:r>
    <w:r w:rsidR="00FE2779">
      <w:rPr>
        <w:szCs w:val="22"/>
      </w:rPr>
      <w:t>1</w:t>
    </w:r>
    <w:r w:rsidR="00C715B9">
      <w:rPr>
        <w:szCs w:val="22"/>
      </w:rPr>
      <w:t xml:space="preserve"> </w:t>
    </w:r>
    <w:r w:rsidR="00C715B9">
      <w:rPr>
        <w:lang w:eastAsia="cs-CZ"/>
      </w:rPr>
      <w:t>Výzvy k podání nabídek:</w:t>
    </w:r>
    <w:r w:rsidR="00C715B9"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6E4668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95EF6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B72819"/>
    <w:rsid w:val="00BE31C7"/>
    <w:rsid w:val="00C601C7"/>
    <w:rsid w:val="00C95EF6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65</TotalTime>
  <Pages>2</Pages>
  <Words>473</Words>
  <Characters>2793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Hniličková Hana, Bc.</cp:lastModifiedBy>
  <cp:revision>8</cp:revision>
  <cp:lastPrinted>2017-11-28T17:18:00Z</cp:lastPrinted>
  <dcterms:created xsi:type="dcterms:W3CDTF">2023-11-16T10:29:00Z</dcterms:created>
  <dcterms:modified xsi:type="dcterms:W3CDTF">2025-07-15T08:27:00Z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  <property fmtid="{D5CDD505-2E9C-101B-9397-08002B2CF9AE}" pid="4" name="ClassificationContentMarkingHeaderShapeIds">
    <vt:lpwstr>3c7d078f,8543f64,63243e60</vt:lpwstr>
  </property>
  <property fmtid="{D5CDD505-2E9C-101B-9397-08002B2CF9AE}" pid="5" name="ClassificationContentMarkingHeaderFontProps">
    <vt:lpwstr>#000000,7,Verdana</vt:lpwstr>
  </property>
  <property fmtid="{D5CDD505-2E9C-101B-9397-08002B2CF9AE}" pid="6" name="ClassificationContentMarkingHeaderText">
    <vt:lpwstr>SŽ: Interní</vt:lpwstr>
  </property>
</Properties>
</file>